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0429" w14:textId="77777777" w:rsidR="002C194A" w:rsidRDefault="002C194A" w:rsidP="002C19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C2 </w:t>
      </w:r>
      <w:r>
        <w:rPr>
          <w:b/>
          <w:bCs/>
          <w:i/>
          <w:sz w:val="28"/>
          <w:szCs w:val="28"/>
        </w:rPr>
        <w:t>Reinvests understanding of texts</w:t>
      </w:r>
    </w:p>
    <w:tbl>
      <w:tblPr>
        <w:tblW w:w="1441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3"/>
        <w:gridCol w:w="1910"/>
        <w:gridCol w:w="2340"/>
        <w:gridCol w:w="2340"/>
        <w:gridCol w:w="2340"/>
        <w:gridCol w:w="2340"/>
        <w:gridCol w:w="2454"/>
      </w:tblGrid>
      <w:tr w:rsidR="002C194A" w14:paraId="33C1ADBA" w14:textId="77777777" w:rsidTr="008F1B25">
        <w:trPr>
          <w:trHeight w:val="662"/>
          <w:jc w:val="center"/>
        </w:trPr>
        <w:tc>
          <w:tcPr>
            <w:tcW w:w="2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021C5BBC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Evaluation</w:t>
            </w:r>
          </w:p>
          <w:p w14:paraId="14F7EFAD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06B2720E" w14:textId="77777777" w:rsidR="002C194A" w:rsidRDefault="002C194A" w:rsidP="008F1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  <w:p w14:paraId="06CE4208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31C7D033" w14:textId="77777777" w:rsidR="002C194A" w:rsidRDefault="002C194A" w:rsidP="008F1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  <w:p w14:paraId="598AFD35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4420BB70" w14:textId="77777777" w:rsidR="002C194A" w:rsidRDefault="002C194A" w:rsidP="008F1B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  <w:p w14:paraId="36C381B8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05543502" w14:textId="77777777" w:rsidR="002C194A" w:rsidRDefault="002C194A" w:rsidP="008F1B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  <w:p w14:paraId="0A8233F2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400F7074" w14:textId="77777777" w:rsidR="002C194A" w:rsidRDefault="002C194A" w:rsidP="008F1B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  <w:p w14:paraId="2B59EC0E" w14:textId="77777777" w:rsidR="002C194A" w:rsidRDefault="002C194A" w:rsidP="008F1B25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8"/>
                <w:szCs w:val="18"/>
              </w:rPr>
            </w:pPr>
          </w:p>
        </w:tc>
      </w:tr>
      <w:tr w:rsidR="002C194A" w14:paraId="37584F33" w14:textId="77777777" w:rsidTr="008F1B25">
        <w:trPr>
          <w:cantSplit/>
          <w:trHeight w:val="2163"/>
          <w:jc w:val="center"/>
        </w:trPr>
        <w:tc>
          <w:tcPr>
            <w:tcW w:w="693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14:paraId="28328DD7" w14:textId="1E33E6F4" w:rsidR="002C194A" w:rsidRDefault="002C194A" w:rsidP="008F1B25">
            <w:pPr>
              <w:pStyle w:val="TableContents"/>
              <w:spacing w:before="60"/>
              <w:ind w:left="113" w:right="113"/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Task A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6A6A6"/>
            <w:vAlign w:val="center"/>
          </w:tcPr>
          <w:p w14:paraId="36783FB5" w14:textId="77777777" w:rsidR="002C194A" w:rsidRDefault="002C194A" w:rsidP="008F1B25">
            <w:pPr>
              <w:pStyle w:val="TableContents"/>
              <w:spacing w:before="60"/>
              <w:rPr>
                <w:rFonts w:ascii="Trebuchet MS" w:hAnsi="Trebuchet MS"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Evidence of understanding of texts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0CAFC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Answers to questions are complete, elaborated and clearly based on the texts.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80348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Answers to questions are complete and clearly based on the texts.</w:t>
            </w:r>
          </w:p>
          <w:p w14:paraId="0FD2C3EA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2AB12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Answers to questions are partially complete and somewhat based on the texts.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99AD2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Answers to questions are incomplete and only loosely based on the texts.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095367E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Answers are incomplete and demonstrate little understanding of the texts.</w:t>
            </w:r>
          </w:p>
        </w:tc>
      </w:tr>
      <w:tr w:rsidR="002C194A" w14:paraId="27310259" w14:textId="77777777" w:rsidTr="008F1B25">
        <w:trPr>
          <w:cantSplit/>
          <w:trHeight w:val="2482"/>
          <w:jc w:val="center"/>
        </w:trPr>
        <w:tc>
          <w:tcPr>
            <w:tcW w:w="69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6A6A6"/>
            <w:textDirection w:val="btLr"/>
            <w:vAlign w:val="center"/>
          </w:tcPr>
          <w:p w14:paraId="51E31FAF" w14:textId="482FD138" w:rsidR="002C194A" w:rsidRDefault="002C194A" w:rsidP="008F1B25">
            <w:pPr>
              <w:pStyle w:val="TableContents"/>
              <w:ind w:left="256" w:right="113" w:hanging="143"/>
              <w:jc w:val="center"/>
              <w:rPr>
                <w:rFonts w:ascii="Trebuchet MS" w:hAnsi="Trebuchet MS"/>
                <w:b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Task B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A6A6A6"/>
            <w:vAlign w:val="center"/>
          </w:tcPr>
          <w:p w14:paraId="11435358" w14:textId="77777777" w:rsidR="002C194A" w:rsidRDefault="002C194A" w:rsidP="008F1B25">
            <w:pPr>
              <w:pStyle w:val="TableContents"/>
              <w:spacing w:before="60"/>
              <w:rPr>
                <w:rFonts w:ascii="Trebuchet MS" w:hAnsi="Trebuchet MS"/>
                <w:sz w:val="20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Use of knowledge from texts in a reinvestment task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EE1177B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Solutions provided in the advice column are appropriate, elaborated and clearly linked to the texts.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C4EB294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Solutions provided in the advice column are appropriate and linked to the texts.</w:t>
            </w:r>
          </w:p>
          <w:p w14:paraId="7225E35B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290032F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Solutions provided in the advice column are mostly appropriate and mostly linked to the texts.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9D6F5EB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Solutions provided in the advice column are often inappropriate and only loosely linked to the texts.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A51C07" w14:textId="77777777" w:rsidR="002C194A" w:rsidRDefault="002C194A" w:rsidP="008F1B25">
            <w:pPr>
              <w:pStyle w:val="TableContents"/>
              <w:rPr>
                <w:rFonts w:ascii="Trebuchet MS" w:eastAsia="Times New Roman" w:hAnsi="Trebuchet MS"/>
                <w:sz w:val="20"/>
                <w:szCs w:val="18"/>
              </w:rPr>
            </w:pPr>
            <w:r>
              <w:rPr>
                <w:rFonts w:ascii="Trebuchet MS" w:eastAsia="Times New Roman" w:hAnsi="Trebuchet MS"/>
                <w:sz w:val="20"/>
                <w:szCs w:val="18"/>
              </w:rPr>
              <w:t>Solutions provided in the advice column are inappropriate and demonstrate almost no links to the texts.</w:t>
            </w:r>
          </w:p>
        </w:tc>
      </w:tr>
    </w:tbl>
    <w:p w14:paraId="420CF605" w14:textId="77777777" w:rsidR="002C194A" w:rsidRDefault="002C194A"/>
    <w:sectPr w:rsidR="002C194A" w:rsidSect="002C194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4A"/>
    <w:rsid w:val="002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C11"/>
  <w15:chartTrackingRefBased/>
  <w15:docId w15:val="{0489898A-CA55-4E8C-9094-A860D437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94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C194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Isa Michaud</cp:lastModifiedBy>
  <cp:revision>1</cp:revision>
  <dcterms:created xsi:type="dcterms:W3CDTF">2021-06-06T04:46:00Z</dcterms:created>
  <dcterms:modified xsi:type="dcterms:W3CDTF">2021-06-06T04:48:00Z</dcterms:modified>
</cp:coreProperties>
</file>